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596F" w14:textId="22EF010D" w:rsidR="00D607C6" w:rsidRDefault="00D607C6" w:rsidP="00D607C6">
      <w:pPr>
        <w:jc w:val="center"/>
        <w:rPr>
          <w:rFonts w:ascii="Poppins" w:hAnsi="Poppins" w:cs="Poppins"/>
          <w:b/>
          <w:bCs/>
          <w:sz w:val="24"/>
          <w:szCs w:val="28"/>
        </w:rPr>
      </w:pPr>
      <w:r>
        <w:rPr>
          <w:rFonts w:ascii="Poppins" w:hAnsi="Poppins" w:cs="Poppins"/>
          <w:b/>
          <w:bCs/>
          <w:noProof/>
          <w:sz w:val="24"/>
          <w:szCs w:val="28"/>
        </w:rPr>
        <w:drawing>
          <wp:inline distT="0" distB="0" distL="0" distR="0" wp14:anchorId="46081CD3" wp14:editId="6D1546DF">
            <wp:extent cx="5731510" cy="142494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1171-LNT-LOGO-ver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36" b="32508"/>
                    <a:stretch/>
                  </pic:blipFill>
                  <pic:spPr bwMode="auto">
                    <a:xfrm>
                      <a:off x="0" y="0"/>
                      <a:ext cx="5731510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F2827" w14:textId="0D25BB25" w:rsidR="00D607C6" w:rsidRPr="00D607C6" w:rsidRDefault="00D607C6" w:rsidP="00D607C6">
      <w:pPr>
        <w:jc w:val="center"/>
        <w:rPr>
          <w:rFonts w:ascii="Poppins" w:hAnsi="Poppins" w:cs="Poppins"/>
          <w:b/>
          <w:bCs/>
          <w:sz w:val="24"/>
          <w:szCs w:val="28"/>
        </w:rPr>
      </w:pPr>
      <w:r w:rsidRPr="00D607C6">
        <w:rPr>
          <w:rFonts w:ascii="Poppins" w:hAnsi="Poppins" w:cs="Poppins"/>
          <w:b/>
          <w:bCs/>
          <w:sz w:val="24"/>
          <w:szCs w:val="28"/>
        </w:rPr>
        <w:t>LEAVE NO TRACE (IRELAND)</w:t>
      </w:r>
    </w:p>
    <w:p w14:paraId="18D451FD" w14:textId="77777777" w:rsidR="00D607C6" w:rsidRPr="00D607C6" w:rsidRDefault="00D607C6" w:rsidP="00D607C6">
      <w:pPr>
        <w:jc w:val="center"/>
        <w:rPr>
          <w:rFonts w:ascii="Poppins" w:hAnsi="Poppins" w:cs="Poppins"/>
          <w:b/>
          <w:bCs/>
          <w:sz w:val="24"/>
          <w:szCs w:val="28"/>
        </w:rPr>
      </w:pPr>
      <w:r w:rsidRPr="00D607C6">
        <w:rPr>
          <w:rFonts w:ascii="Poppins" w:hAnsi="Poppins" w:cs="Poppins"/>
          <w:b/>
          <w:bCs/>
          <w:sz w:val="24"/>
          <w:szCs w:val="28"/>
        </w:rPr>
        <w:t>APPOINTMENT OF PROXY</w:t>
      </w:r>
    </w:p>
    <w:p w14:paraId="3E61D218" w14:textId="77777777" w:rsidR="00D607C6" w:rsidRDefault="00D607C6" w:rsidP="00D607C6"/>
    <w:p w14:paraId="3F9AE5BF" w14:textId="77777777" w:rsidR="00D607C6" w:rsidRDefault="00D607C6" w:rsidP="00D607C6"/>
    <w:p w14:paraId="2CCECF54" w14:textId="65D3598B" w:rsidR="00D607C6" w:rsidRDefault="00D607C6" w:rsidP="00D607C6">
      <w:r>
        <w:t xml:space="preserve">…………………….. of ……………………, being a Member of the Company, (the "Member") hereby appoint/s ……………… of ………………. or failing him/her ………………. of ………………… as the proxy of the Member to attend, speak and vote for the Member on behalf of the Member at the </w:t>
      </w:r>
      <w:r w:rsidR="005A480B">
        <w:t>A</w:t>
      </w:r>
      <w:r>
        <w:t xml:space="preserve">nnual </w:t>
      </w:r>
      <w:r w:rsidR="005A480B">
        <w:t>G</w:t>
      </w:r>
      <w:r>
        <w:t xml:space="preserve">eneral </w:t>
      </w:r>
      <w:r w:rsidR="005A480B">
        <w:t>M</w:t>
      </w:r>
      <w:r>
        <w:t xml:space="preserve">eeting of the Company to be held on the </w:t>
      </w:r>
      <w:r w:rsidR="00C954AB">
        <w:t>26</w:t>
      </w:r>
      <w:r w:rsidR="00C954AB" w:rsidRPr="00C954AB">
        <w:rPr>
          <w:vertAlign w:val="superscript"/>
        </w:rPr>
        <w:t>th</w:t>
      </w:r>
      <w:r w:rsidR="00C954AB">
        <w:t xml:space="preserve"> May 2022</w:t>
      </w:r>
      <w:r>
        <w:t xml:space="preserve"> and at any adjournment of the meeting.</w:t>
      </w:r>
    </w:p>
    <w:p w14:paraId="02EC751F" w14:textId="77777777" w:rsidR="00D607C6" w:rsidRDefault="00D607C6" w:rsidP="00D607C6"/>
    <w:p w14:paraId="631DF821" w14:textId="7016D7E7" w:rsidR="005A45F1" w:rsidRDefault="00D607C6" w:rsidP="00D607C6">
      <w:r>
        <w:t>The proxy is to vote as follows:</w:t>
      </w:r>
    </w:p>
    <w:p w14:paraId="3765BE4B" w14:textId="55420302" w:rsidR="00D607C6" w:rsidRDefault="00D607C6" w:rsidP="00D607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5160"/>
        <w:gridCol w:w="1030"/>
        <w:gridCol w:w="1096"/>
        <w:gridCol w:w="1074"/>
      </w:tblGrid>
      <w:tr w:rsidR="00826BC8" w:rsidRPr="009750B5" w14:paraId="618691D0" w14:textId="77777777" w:rsidTr="0016592A">
        <w:tc>
          <w:tcPr>
            <w:tcW w:w="9016" w:type="dxa"/>
            <w:gridSpan w:val="5"/>
          </w:tcPr>
          <w:p w14:paraId="60562B55" w14:textId="5183A253" w:rsidR="00826BC8" w:rsidRPr="009750B5" w:rsidRDefault="00826BC8" w:rsidP="00D607C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750B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Voting Instructions to Proxy</w:t>
            </w:r>
          </w:p>
          <w:p w14:paraId="0C962C23" w14:textId="77777777" w:rsidR="00826BC8" w:rsidRPr="009750B5" w:rsidRDefault="00826BC8" w:rsidP="00D607C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750B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(choice to be marked with an 'x')</w:t>
            </w:r>
          </w:p>
          <w:p w14:paraId="67C3E71F" w14:textId="7805ABA1" w:rsidR="00826BC8" w:rsidRPr="009750B5" w:rsidRDefault="00826BC8" w:rsidP="00D607C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6BC8" w:rsidRPr="009750B5" w14:paraId="1E67E8EA" w14:textId="77777777" w:rsidTr="00826BC8">
        <w:tc>
          <w:tcPr>
            <w:tcW w:w="656" w:type="dxa"/>
          </w:tcPr>
          <w:p w14:paraId="4438B76F" w14:textId="6F58A84D" w:rsidR="00826BC8" w:rsidRPr="009750B5" w:rsidRDefault="00826BC8" w:rsidP="006B3333">
            <w:pPr>
              <w:ind w:right="78"/>
              <w:jc w:val="both"/>
              <w:textAlignment w:val="baseline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750B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5160" w:type="dxa"/>
          </w:tcPr>
          <w:p w14:paraId="04EA0354" w14:textId="340D46E4" w:rsidR="00826BC8" w:rsidRPr="009750B5" w:rsidRDefault="00826BC8" w:rsidP="006B3333">
            <w:pPr>
              <w:ind w:right="78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9750B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Resolution</w:t>
            </w:r>
          </w:p>
        </w:tc>
        <w:tc>
          <w:tcPr>
            <w:tcW w:w="1030" w:type="dxa"/>
          </w:tcPr>
          <w:p w14:paraId="208E6FE8" w14:textId="763F8731" w:rsidR="00826BC8" w:rsidRPr="009750B5" w:rsidRDefault="00826BC8" w:rsidP="00D607C6">
            <w:pPr>
              <w:rPr>
                <w:b/>
                <w:bCs/>
                <w:sz w:val="20"/>
                <w:szCs w:val="20"/>
              </w:rPr>
            </w:pPr>
            <w:r w:rsidRPr="009750B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In favour </w:t>
            </w:r>
          </w:p>
        </w:tc>
        <w:tc>
          <w:tcPr>
            <w:tcW w:w="1096" w:type="dxa"/>
          </w:tcPr>
          <w:p w14:paraId="1367C836" w14:textId="7E326459" w:rsidR="00826BC8" w:rsidRPr="009750B5" w:rsidRDefault="00826BC8" w:rsidP="00D607C6">
            <w:pPr>
              <w:rPr>
                <w:b/>
                <w:bCs/>
                <w:sz w:val="20"/>
                <w:szCs w:val="20"/>
              </w:rPr>
            </w:pPr>
            <w:r w:rsidRPr="009750B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Abstain</w:t>
            </w:r>
          </w:p>
        </w:tc>
        <w:tc>
          <w:tcPr>
            <w:tcW w:w="1074" w:type="dxa"/>
          </w:tcPr>
          <w:p w14:paraId="0F788A8C" w14:textId="6E40ACC8" w:rsidR="00826BC8" w:rsidRPr="009750B5" w:rsidRDefault="00826BC8" w:rsidP="00D607C6">
            <w:pPr>
              <w:rPr>
                <w:b/>
                <w:bCs/>
                <w:sz w:val="20"/>
                <w:szCs w:val="20"/>
              </w:rPr>
            </w:pPr>
            <w:r w:rsidRPr="009750B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Against</w:t>
            </w:r>
          </w:p>
        </w:tc>
      </w:tr>
      <w:tr w:rsidR="00826BC8" w:rsidRPr="009750B5" w14:paraId="73F0B5EF" w14:textId="77777777" w:rsidTr="00826BC8">
        <w:tc>
          <w:tcPr>
            <w:tcW w:w="656" w:type="dxa"/>
          </w:tcPr>
          <w:p w14:paraId="18D8E02E" w14:textId="3ACA81DC" w:rsidR="00826BC8" w:rsidRPr="009750B5" w:rsidRDefault="00826BC8" w:rsidP="00D607C6">
            <w:pPr>
              <w:rPr>
                <w:b/>
                <w:bCs/>
                <w:sz w:val="20"/>
                <w:szCs w:val="20"/>
              </w:rPr>
            </w:pPr>
            <w:r w:rsidRPr="009750B5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5160" w:type="dxa"/>
          </w:tcPr>
          <w:p w14:paraId="1D7447A1" w14:textId="5E7B6A9A" w:rsidR="00826BC8" w:rsidRPr="009750B5" w:rsidRDefault="00826BC8" w:rsidP="00D607C6">
            <w:pPr>
              <w:rPr>
                <w:sz w:val="20"/>
                <w:szCs w:val="20"/>
              </w:rPr>
            </w:pPr>
            <w:r w:rsidRPr="009750B5">
              <w:rPr>
                <w:sz w:val="20"/>
                <w:szCs w:val="20"/>
              </w:rPr>
              <w:t>To receive and consider the Directors’ Report, Auditor’s Report, and Financial Statements of the Company for the year ended 31</w:t>
            </w:r>
            <w:r w:rsidRPr="009750B5">
              <w:rPr>
                <w:sz w:val="20"/>
                <w:szCs w:val="20"/>
                <w:vertAlign w:val="superscript"/>
              </w:rPr>
              <w:t>st</w:t>
            </w:r>
            <w:r w:rsidRPr="009750B5">
              <w:rPr>
                <w:sz w:val="20"/>
                <w:szCs w:val="20"/>
              </w:rPr>
              <w:t xml:space="preserve"> December 202</w:t>
            </w:r>
            <w:r w:rsidR="00C954AB">
              <w:rPr>
                <w:sz w:val="20"/>
                <w:szCs w:val="20"/>
              </w:rPr>
              <w:t>1</w:t>
            </w:r>
          </w:p>
          <w:p w14:paraId="135F1A80" w14:textId="1AA094AC" w:rsidR="00826BC8" w:rsidRPr="009750B5" w:rsidRDefault="00826BC8" w:rsidP="00D607C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42884A89" w14:textId="77777777" w:rsidR="00826BC8" w:rsidRPr="009750B5" w:rsidRDefault="00826BC8" w:rsidP="00D607C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14:paraId="01A03FCB" w14:textId="77777777" w:rsidR="00826BC8" w:rsidRPr="009750B5" w:rsidRDefault="00826BC8" w:rsidP="00D607C6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7BBBEFF0" w14:textId="77777777" w:rsidR="00826BC8" w:rsidRPr="009750B5" w:rsidRDefault="00826BC8" w:rsidP="00D607C6">
            <w:pPr>
              <w:rPr>
                <w:sz w:val="20"/>
                <w:szCs w:val="20"/>
              </w:rPr>
            </w:pPr>
          </w:p>
        </w:tc>
      </w:tr>
      <w:tr w:rsidR="00826BC8" w:rsidRPr="009750B5" w14:paraId="3527BE8C" w14:textId="77777777" w:rsidTr="00826BC8">
        <w:tc>
          <w:tcPr>
            <w:tcW w:w="656" w:type="dxa"/>
          </w:tcPr>
          <w:p w14:paraId="0EC756F9" w14:textId="792CF602" w:rsidR="00826BC8" w:rsidRPr="009750B5" w:rsidRDefault="00826BC8" w:rsidP="00D607C6">
            <w:pPr>
              <w:rPr>
                <w:b/>
                <w:bCs/>
                <w:sz w:val="20"/>
                <w:szCs w:val="20"/>
              </w:rPr>
            </w:pPr>
            <w:r w:rsidRPr="009750B5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160" w:type="dxa"/>
          </w:tcPr>
          <w:p w14:paraId="61DD2CEB" w14:textId="0C216BB0" w:rsidR="00826BC8" w:rsidRPr="009750B5" w:rsidRDefault="00826BC8" w:rsidP="00D607C6">
            <w:pPr>
              <w:rPr>
                <w:sz w:val="20"/>
                <w:szCs w:val="20"/>
              </w:rPr>
            </w:pPr>
            <w:r w:rsidRPr="009750B5">
              <w:rPr>
                <w:sz w:val="20"/>
                <w:szCs w:val="20"/>
              </w:rPr>
              <w:t>To reappoint the Auditors of the Company and to authorise the Directors to fix their remuneration.</w:t>
            </w:r>
          </w:p>
          <w:p w14:paraId="74807ED8" w14:textId="10ECA75C" w:rsidR="00826BC8" w:rsidRPr="009750B5" w:rsidRDefault="00826BC8" w:rsidP="00D607C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008F0967" w14:textId="77777777" w:rsidR="00826BC8" w:rsidRPr="009750B5" w:rsidRDefault="00826BC8" w:rsidP="00D607C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14:paraId="0A685B4F" w14:textId="77777777" w:rsidR="00826BC8" w:rsidRPr="009750B5" w:rsidRDefault="00826BC8" w:rsidP="00D607C6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6083A397" w14:textId="77777777" w:rsidR="00826BC8" w:rsidRPr="009750B5" w:rsidRDefault="00826BC8" w:rsidP="00D607C6">
            <w:pPr>
              <w:rPr>
                <w:sz w:val="20"/>
                <w:szCs w:val="20"/>
              </w:rPr>
            </w:pPr>
          </w:p>
        </w:tc>
      </w:tr>
      <w:tr w:rsidR="00826BC8" w:rsidRPr="009750B5" w14:paraId="36686CEF" w14:textId="77777777" w:rsidTr="00826BC8">
        <w:tc>
          <w:tcPr>
            <w:tcW w:w="656" w:type="dxa"/>
          </w:tcPr>
          <w:p w14:paraId="68A3746B" w14:textId="308412BB" w:rsidR="00826BC8" w:rsidRPr="009750B5" w:rsidRDefault="00826BC8" w:rsidP="003C3D77">
            <w:pPr>
              <w:rPr>
                <w:b/>
                <w:bCs/>
                <w:sz w:val="20"/>
                <w:szCs w:val="20"/>
              </w:rPr>
            </w:pPr>
            <w:r w:rsidRPr="009750B5"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160" w:type="dxa"/>
          </w:tcPr>
          <w:p w14:paraId="54ED9419" w14:textId="2934D18E" w:rsidR="00826BC8" w:rsidRDefault="00826BC8" w:rsidP="003C3D77">
            <w:pPr>
              <w:rPr>
                <w:sz w:val="20"/>
                <w:szCs w:val="20"/>
              </w:rPr>
            </w:pPr>
            <w:r w:rsidRPr="009750B5">
              <w:rPr>
                <w:sz w:val="20"/>
                <w:szCs w:val="20"/>
              </w:rPr>
              <w:t xml:space="preserve">Following the requirement of Regulation 52 of the Constitution for Directors to re-elect as Directors </w:t>
            </w:r>
          </w:p>
          <w:p w14:paraId="3A033D4C" w14:textId="77777777" w:rsidR="00A30330" w:rsidRPr="009149BE" w:rsidRDefault="00A30330" w:rsidP="00A30330">
            <w:pPr>
              <w:rPr>
                <w:color w:val="FF0000"/>
                <w:sz w:val="20"/>
                <w:szCs w:val="20"/>
              </w:rPr>
            </w:pPr>
            <w:r w:rsidRPr="009149BE">
              <w:rPr>
                <w:color w:val="FF0000"/>
                <w:sz w:val="20"/>
                <w:szCs w:val="20"/>
              </w:rPr>
              <w:t>For 2022 there are no Directors due for re-election</w:t>
            </w:r>
          </w:p>
          <w:p w14:paraId="50C5C531" w14:textId="57182919" w:rsidR="0007486E" w:rsidRPr="009750B5" w:rsidRDefault="0007486E" w:rsidP="00A3033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4E2ADBD1" w14:textId="19C803B4" w:rsidR="00826BC8" w:rsidRPr="009750B5" w:rsidRDefault="00A30330" w:rsidP="00A3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096" w:type="dxa"/>
          </w:tcPr>
          <w:p w14:paraId="5D3FB3CC" w14:textId="62C4BD52" w:rsidR="00826BC8" w:rsidRPr="009750B5" w:rsidRDefault="00A30330" w:rsidP="00A3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074" w:type="dxa"/>
          </w:tcPr>
          <w:p w14:paraId="6FE16EE6" w14:textId="02B3F540" w:rsidR="00826BC8" w:rsidRPr="009750B5" w:rsidRDefault="00A30330" w:rsidP="00A3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7EA6" w:rsidRPr="009750B5" w14:paraId="2C1B29A3" w14:textId="77777777" w:rsidTr="00826BC8">
        <w:tc>
          <w:tcPr>
            <w:tcW w:w="656" w:type="dxa"/>
          </w:tcPr>
          <w:p w14:paraId="3642AF38" w14:textId="14CCC513" w:rsidR="00777EA6" w:rsidRPr="009750B5" w:rsidRDefault="00777EA6" w:rsidP="00777EA6">
            <w:pPr>
              <w:rPr>
                <w:b/>
                <w:bCs/>
                <w:sz w:val="20"/>
                <w:szCs w:val="20"/>
              </w:rPr>
            </w:pPr>
            <w:r w:rsidRPr="009750B5"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160" w:type="dxa"/>
          </w:tcPr>
          <w:p w14:paraId="6237B48E" w14:textId="77777777" w:rsidR="00777EA6" w:rsidRDefault="00777EA6" w:rsidP="00777EA6">
            <w:pPr>
              <w:rPr>
                <w:sz w:val="20"/>
                <w:szCs w:val="20"/>
              </w:rPr>
            </w:pPr>
            <w:r w:rsidRPr="009750B5">
              <w:rPr>
                <w:sz w:val="20"/>
                <w:szCs w:val="20"/>
              </w:rPr>
              <w:t>To enable the members to review the Company’s affairs</w:t>
            </w:r>
          </w:p>
          <w:p w14:paraId="5F27DE92" w14:textId="7681877D" w:rsidR="00C86562" w:rsidRPr="009750B5" w:rsidRDefault="00C86562" w:rsidP="00777EA6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17926766" w14:textId="77777777" w:rsidR="00777EA6" w:rsidRPr="009750B5" w:rsidRDefault="00777EA6" w:rsidP="00777EA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14:paraId="66957E28" w14:textId="77777777" w:rsidR="00777EA6" w:rsidRPr="009750B5" w:rsidRDefault="00777EA6" w:rsidP="00777EA6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1015B706" w14:textId="77777777" w:rsidR="00777EA6" w:rsidRPr="009750B5" w:rsidRDefault="00777EA6" w:rsidP="00777EA6">
            <w:pPr>
              <w:rPr>
                <w:sz w:val="20"/>
                <w:szCs w:val="20"/>
              </w:rPr>
            </w:pPr>
          </w:p>
        </w:tc>
      </w:tr>
    </w:tbl>
    <w:p w14:paraId="607A53AB" w14:textId="7827FCE0" w:rsidR="00D607C6" w:rsidRDefault="00D607C6" w:rsidP="00D607C6"/>
    <w:p w14:paraId="31E900E0" w14:textId="77777777" w:rsidR="00D607C6" w:rsidRDefault="00D607C6" w:rsidP="00D607C6"/>
    <w:p w14:paraId="39877CE2" w14:textId="4F9BF4C8" w:rsidR="00D607C6" w:rsidRDefault="00D607C6" w:rsidP="00D607C6">
      <w:r>
        <w:t>Signature of Member: ……………………………………</w:t>
      </w:r>
    </w:p>
    <w:p w14:paraId="587DA78A" w14:textId="679140AE" w:rsidR="00D607C6" w:rsidRDefault="00D607C6" w:rsidP="00D607C6"/>
    <w:p w14:paraId="4C6636CC" w14:textId="08510DD9" w:rsidR="00D607C6" w:rsidRDefault="00D607C6" w:rsidP="00D607C6"/>
    <w:p w14:paraId="0F2D0F62" w14:textId="47FF7F94" w:rsidR="00EC394D" w:rsidRDefault="00D607C6" w:rsidP="00D607C6">
      <w:pPr>
        <w:rPr>
          <w:rFonts w:eastAsia="Times New Roman" w:cs="Arial"/>
          <w:color w:val="000000"/>
          <w:spacing w:val="-7"/>
          <w:szCs w:val="22"/>
          <w:lang w:val="en-US"/>
        </w:rPr>
      </w:pPr>
      <w:r w:rsidRPr="00656C10">
        <w:rPr>
          <w:rFonts w:eastAsia="Times New Roman" w:cs="Arial"/>
          <w:color w:val="000000"/>
          <w:spacing w:val="-7"/>
          <w:szCs w:val="22"/>
          <w:lang w:val="en-US"/>
        </w:rPr>
        <w:t>Date: ………………</w:t>
      </w:r>
      <w:proofErr w:type="gramStart"/>
      <w:r w:rsidRPr="00656C10">
        <w:rPr>
          <w:rFonts w:eastAsia="Times New Roman" w:cs="Arial"/>
          <w:color w:val="000000"/>
          <w:spacing w:val="-7"/>
          <w:szCs w:val="22"/>
          <w:lang w:val="en-US"/>
        </w:rPr>
        <w:t>…..</w:t>
      </w:r>
      <w:proofErr w:type="gramEnd"/>
      <w:r w:rsidRPr="00656C10">
        <w:rPr>
          <w:rFonts w:eastAsia="Times New Roman" w:cs="Arial"/>
          <w:color w:val="000000"/>
          <w:spacing w:val="-7"/>
          <w:szCs w:val="22"/>
          <w:lang w:val="en-US"/>
        </w:rPr>
        <w:t xml:space="preserve"> 202</w:t>
      </w:r>
      <w:r w:rsidR="00C954AB">
        <w:rPr>
          <w:rFonts w:eastAsia="Times New Roman" w:cs="Arial"/>
          <w:color w:val="000000"/>
          <w:spacing w:val="-7"/>
          <w:szCs w:val="22"/>
          <w:lang w:val="en-US"/>
        </w:rPr>
        <w:t>2</w:t>
      </w:r>
    </w:p>
    <w:p w14:paraId="12F8031C" w14:textId="77777777" w:rsidR="002901B7" w:rsidRDefault="002901B7" w:rsidP="00D607C6"/>
    <w:p w14:paraId="65E33B05" w14:textId="4CBFDD96" w:rsidR="00EC394D" w:rsidRDefault="00EC394D" w:rsidP="002901B7">
      <w:r>
        <w:t>Please return to Leave No Trace Ireland, Castlebar Street, Westport, Co. Mayo, F28 KD63.</w:t>
      </w:r>
    </w:p>
    <w:sectPr w:rsidR="00EC3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0C5D" w14:textId="77777777" w:rsidR="00633ABF" w:rsidRDefault="00633ABF" w:rsidP="00D607C6">
      <w:r>
        <w:separator/>
      </w:r>
    </w:p>
  </w:endnote>
  <w:endnote w:type="continuationSeparator" w:id="0">
    <w:p w14:paraId="2020E3A7" w14:textId="77777777" w:rsidR="00633ABF" w:rsidRDefault="00633ABF" w:rsidP="00D6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BFC4" w14:textId="77777777" w:rsidR="00633ABF" w:rsidRDefault="00633ABF" w:rsidP="00D607C6">
      <w:r>
        <w:separator/>
      </w:r>
    </w:p>
  </w:footnote>
  <w:footnote w:type="continuationSeparator" w:id="0">
    <w:p w14:paraId="70DCF952" w14:textId="77777777" w:rsidR="00633ABF" w:rsidRDefault="00633ABF" w:rsidP="00D60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4CA0"/>
    <w:multiLevelType w:val="hybridMultilevel"/>
    <w:tmpl w:val="A8E048A0"/>
    <w:lvl w:ilvl="0" w:tplc="CEDEA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31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C6"/>
    <w:rsid w:val="0007486E"/>
    <w:rsid w:val="00177F25"/>
    <w:rsid w:val="001F7C78"/>
    <w:rsid w:val="0028549B"/>
    <w:rsid w:val="002901B7"/>
    <w:rsid w:val="0032260C"/>
    <w:rsid w:val="003C3D77"/>
    <w:rsid w:val="0043604E"/>
    <w:rsid w:val="00497C90"/>
    <w:rsid w:val="004D6EE3"/>
    <w:rsid w:val="005A45F1"/>
    <w:rsid w:val="005A480B"/>
    <w:rsid w:val="005D67E4"/>
    <w:rsid w:val="00633ABF"/>
    <w:rsid w:val="006741D4"/>
    <w:rsid w:val="006B3333"/>
    <w:rsid w:val="007111B0"/>
    <w:rsid w:val="00777EA6"/>
    <w:rsid w:val="00826BC8"/>
    <w:rsid w:val="008555C4"/>
    <w:rsid w:val="009149BE"/>
    <w:rsid w:val="009750B5"/>
    <w:rsid w:val="009D2D48"/>
    <w:rsid w:val="00A30330"/>
    <w:rsid w:val="00A70075"/>
    <w:rsid w:val="00B34A37"/>
    <w:rsid w:val="00B457F9"/>
    <w:rsid w:val="00C36826"/>
    <w:rsid w:val="00C76AD4"/>
    <w:rsid w:val="00C86562"/>
    <w:rsid w:val="00C954AB"/>
    <w:rsid w:val="00CF453A"/>
    <w:rsid w:val="00D607C6"/>
    <w:rsid w:val="00DC270A"/>
    <w:rsid w:val="00E1057B"/>
    <w:rsid w:val="00EC394D"/>
    <w:rsid w:val="00F57019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C851"/>
  <w15:chartTrackingRefBased/>
  <w15:docId w15:val="{93010A73-0D8A-4499-9FDB-B8720A09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5C4"/>
    <w:pPr>
      <w:spacing w:after="0" w:line="240" w:lineRule="auto"/>
    </w:pPr>
    <w:rPr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26"/>
    <w:pPr>
      <w:ind w:left="720"/>
    </w:pPr>
    <w:rPr>
      <w:rFonts w:cs="Calibri"/>
    </w:rPr>
  </w:style>
  <w:style w:type="paragraph" w:styleId="NoSpacing">
    <w:name w:val="No Spacing"/>
    <w:uiPriority w:val="1"/>
    <w:qFormat/>
    <w:rsid w:val="002854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07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7C6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07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7C6"/>
    <w:rPr>
      <w:szCs w:val="24"/>
      <w:lang w:val="en-GB"/>
    </w:rPr>
  </w:style>
  <w:style w:type="table" w:styleId="TableGrid">
    <w:name w:val="Table Grid"/>
    <w:basedOn w:val="TableNormal"/>
    <w:uiPriority w:val="39"/>
    <w:rsid w:val="00D6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F30D4F290148A42EDBCF0498501A" ma:contentTypeVersion="11" ma:contentTypeDescription="Create a new document." ma:contentTypeScope="" ma:versionID="3a334fd9db556aaf7ff24cd03f89aa55">
  <xsd:schema xmlns:xsd="http://www.w3.org/2001/XMLSchema" xmlns:xs="http://www.w3.org/2001/XMLSchema" xmlns:p="http://schemas.microsoft.com/office/2006/metadata/properties" xmlns:ns2="2ff0f3a9-9431-4ca0-8bf2-3a9469bbbab5" targetNamespace="http://schemas.microsoft.com/office/2006/metadata/properties" ma:root="true" ma:fieldsID="4ab0bf9e860b5be3904e6c9c76048d76" ns2:_="">
    <xsd:import namespace="2ff0f3a9-9431-4ca0-8bf2-3a9469bbb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f3a9-9431-4ca0-8bf2-3a9469bb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ABD0E-EEF2-453A-945C-41F552FCA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0f3a9-9431-4ca0-8bf2-3a9469bbb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B6D8D-32EE-44A7-B853-9A0C8BA76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E52A1-0DA1-499D-BBC3-013A260EAB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Shawe</dc:creator>
  <cp:keywords/>
  <dc:description/>
  <cp:lastModifiedBy>Rachel Shawe</cp:lastModifiedBy>
  <cp:revision>7</cp:revision>
  <dcterms:created xsi:type="dcterms:W3CDTF">2021-08-09T14:16:00Z</dcterms:created>
  <dcterms:modified xsi:type="dcterms:W3CDTF">2022-04-26T11:24:00Z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0x01010074F4F30D4F290148A42EDBCF0498501A</vt:lpwstr>
  </property>
</Properties>
</file>